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E14CE4" w:rsidRPr="00E14CE4" w:rsidTr="00E14CE4">
        <w:trPr>
          <w:tblCellSpacing w:w="0" w:type="dxa"/>
        </w:trPr>
        <w:tc>
          <w:tcPr>
            <w:tcW w:w="10500" w:type="dxa"/>
            <w:vAlign w:val="center"/>
            <w:hideMark/>
          </w:tcPr>
          <w:p w:rsidR="00E14CE4" w:rsidRPr="00E14CE4" w:rsidRDefault="00E14CE4" w:rsidP="00E14CE4">
            <w:pPr>
              <w:spacing w:before="225" w:after="15" w:line="240" w:lineRule="auto"/>
              <w:ind w:left="1050" w:right="2250"/>
              <w:jc w:val="both"/>
              <w:rPr>
                <w:rFonts w:ascii="Arial" w:eastAsia="Times New Roman" w:hAnsi="Arial" w:cs="Arial"/>
                <w:sz w:val="20"/>
                <w:szCs w:val="20"/>
              </w:rPr>
            </w:pPr>
            <w:r w:rsidRPr="00E14CE4">
              <w:rPr>
                <w:rFonts w:ascii="Arial" w:eastAsia="Times New Roman" w:hAnsi="Arial" w:cs="Arial"/>
                <w:sz w:val="20"/>
                <w:szCs w:val="20"/>
              </w:rPr>
              <w:t>Na osnovu članka 30. Zakona o komunalnom gospodarstvu (Narodne novine broj 26/03.- pročišćeni tekst; i članka 6. Zakona o izmjenama i dopunama Zakona o komunalnom gospodarstvu 82/04. i 110/04.) i članka 29. Statuta općine Brckovljani (Službeni glasnik općine Brckovljani broj 03/09.) Općinsko vijeće općine Brckovljani na 5. sjednici održanoj 17. studenog 2009. godine donijelo je</w:t>
            </w:r>
          </w:p>
        </w:tc>
        <w:tc>
          <w:tcPr>
            <w:tcW w:w="1100" w:type="pct"/>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r>
    </w:tbl>
    <w:p w:rsidR="00E14CE4" w:rsidRPr="00E14CE4" w:rsidRDefault="00E14CE4" w:rsidP="00E14CE4">
      <w:pPr>
        <w:spacing w:before="360" w:after="240" w:line="240" w:lineRule="atLeast"/>
        <w:jc w:val="center"/>
        <w:rPr>
          <w:rFonts w:ascii="Arial" w:eastAsia="Times New Roman" w:hAnsi="Arial" w:cs="Arial"/>
          <w:b/>
          <w:bCs/>
          <w:color w:val="000000"/>
          <w:sz w:val="20"/>
          <w:szCs w:val="20"/>
        </w:rPr>
      </w:pPr>
      <w:r w:rsidRPr="00E14CE4">
        <w:rPr>
          <w:rFonts w:ascii="Arial" w:eastAsia="Times New Roman" w:hAnsi="Arial" w:cs="Arial"/>
          <w:b/>
          <w:bCs/>
          <w:color w:val="000000"/>
          <w:sz w:val="24"/>
          <w:szCs w:val="24"/>
        </w:rPr>
        <w:t>ODLUKU</w:t>
      </w:r>
      <w:r w:rsidRPr="00E14CE4">
        <w:rPr>
          <w:rFonts w:ascii="Arial" w:eastAsia="Times New Roman" w:hAnsi="Arial" w:cs="Arial"/>
          <w:b/>
          <w:bCs/>
          <w:color w:val="000000"/>
          <w:sz w:val="24"/>
          <w:szCs w:val="24"/>
        </w:rPr>
        <w:br/>
        <w:t>o priključenju na komunalnu infrastrukturu</w:t>
      </w:r>
      <w:r w:rsidRPr="00E14CE4">
        <w:rPr>
          <w:rFonts w:ascii="Arial" w:eastAsia="Times New Roman" w:hAnsi="Arial" w:cs="Arial"/>
          <w:b/>
          <w:bCs/>
          <w:color w:val="000000"/>
          <w:sz w:val="24"/>
          <w:szCs w:val="24"/>
        </w:rPr>
        <w:br/>
        <w:t>na području Općine Brckovljani</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1.</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Ovom Odlukom utvrđuje se:</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postupak,</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tehničko-tehnološki uvjeti,</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rokovi za pojedine priključke,</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naknada za priključenje,</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način plaćanja naknade i</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kaznene odredbe.</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Naknada za priključenje prihod je proračuna Općine Brckovljani namijenjena za financiranje građenja i rekonstrukcije objekata i uređaja komunalne infrastrukture u skladu sa Programom građenja objekata i uređaja komunalne infrastrukture općine Brckovljani.</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2.</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Ovom Odlukom regulira se priključenje na komunalnu infrastrukturu za:</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1. opskrbu pitkom vodom,</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2. odvodnju otpadnih i oborinskih voda,</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3.</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Upravni odjel općine Brckovljani izdaje potvrdu o podmirenju naknade za priključenje na komunalnu infrastrukturu na temelju obavijesti trgovačkog društva koje obavlja komunalnu djelatnost na području općine o mogućnosti priključka na vodovod i kanalizaciju koja sadrži podatke o vlasniku objekta ili investitoru, nekretnini, tehničkoj mogućnosti priključka i sudjelovanju vlasnika ili investitora u izgradnji objekta komunalne infrastrukture.</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Potvrdu iz prethodnog stavka upravno tijelo izdaje u roku od 15 dana od dana podmirenja troškova od strane vlasnika građevine ili građevinske čestice ili sklapanja ugovora o obročnoj otplati ili dostave dokumentacije iz članka 7. ove Odluke.</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Vlasnik građevine podnosi zahtjev za priključak građevine na objekte komunalne infrastrukture trgovačkom društvu koje obavlja komunalnu djelatnost na području Općine Brckovljani.</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Trgovačko društvo iz prethodnog stavka ovog članka i podnositelj zahtjeva zaključit će ugovor o priključku pojedine građevine na sustav komunalne infrastrukture kojim će odrediti tehničke uvjete, rok izvedbe i cijenu troškova priključenja.</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4.</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lastRenderedPageBreak/>
        <w:t>Priključak građevine i građevinske čestice na objekte komunalne infrastrukture gradi, održava i kontrolira trgovačko društvo kojem je povjereno obavljanje komunalne djelatnosti na području Općine Brckovljani.</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5.</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Tehničko-tehnološke uvjete priključka na objekte komunalne infrastrukture utvrđuje trgovačko društvo koje obavlja komunalnu djelatnost sukladno posebnim propisima i normama po vrstama komunalnih usluga.</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6.</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1. Visina naknade za priključenje objekata za potrebe stanovanja na komunalnu infrastrukturu po priključku za jednu stambenu jedinicu iznosi:</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za priključenje na vodovodnu mrežu </w:t>
      </w:r>
      <w:r w:rsidRPr="00E14CE4">
        <w:rPr>
          <w:rFonts w:ascii="Arial" w:eastAsia="Times New Roman" w:hAnsi="Arial" w:cs="Arial"/>
          <w:color w:val="000000"/>
          <w:sz w:val="20"/>
        </w:rPr>
        <w:t> </w:t>
      </w:r>
      <w:r w:rsidRPr="00E14CE4">
        <w:rPr>
          <w:rFonts w:ascii="Arial" w:eastAsia="Times New Roman" w:hAnsi="Arial" w:cs="Arial"/>
          <w:color w:val="000000"/>
          <w:sz w:val="20"/>
          <w:szCs w:val="20"/>
        </w:rPr>
        <w:t>5.200,00 kuna</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za priključenje na sistem odvodnje i pročišćavanja otpadnih voda (kanalizacija) 5.200,00 kuna</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2. Naknada za priključenje na vodovodnu mrežu i priključenje na sistem odvodnje i pročišćavanje otpadnih voda (kanalizacija) za vinogradske klijeti, kuće za odmor, spremišta alata i strojeva, staklenike ili plastenike, nadstrešnice ili samo šahta na zemljištu na kojem je dozvoljena gradnja, a nalaze se van građevinskog područja obračunava se u iznosu od 6.000,00 kuna.</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3. Za poslovne objekte i ustanove naknada za priključenje na komunalnu infrastrukturu naplaćuje se po brutto površini (BRP) objekta koji se priključuje na :</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lang w:val="en-US"/>
        </w:rPr>
        <w:t> </w:t>
      </w:r>
    </w:p>
    <w:tbl>
      <w:tblPr>
        <w:tblW w:w="0" w:type="auto"/>
        <w:tblInd w:w="40" w:type="dxa"/>
        <w:tblCellMar>
          <w:left w:w="0" w:type="dxa"/>
          <w:right w:w="0" w:type="dxa"/>
        </w:tblCellMar>
        <w:tblLook w:val="04A0"/>
      </w:tblPr>
      <w:tblGrid>
        <w:gridCol w:w="315"/>
        <w:gridCol w:w="15"/>
        <w:gridCol w:w="3480"/>
        <w:gridCol w:w="1650"/>
        <w:gridCol w:w="885"/>
      </w:tblGrid>
      <w:tr w:rsidR="00E14CE4" w:rsidRPr="00E14CE4" w:rsidTr="00E14CE4">
        <w:trPr>
          <w:trHeight w:val="300"/>
        </w:trPr>
        <w:tc>
          <w:tcPr>
            <w:tcW w:w="264"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Times New Roman" w:eastAsia="Times New Roman" w:hAnsi="Times New Roman" w:cs="Times New Roman"/>
                <w:sz w:val="24"/>
                <w:szCs w:val="24"/>
              </w:rPr>
              <w:t>a)</w:t>
            </w:r>
          </w:p>
        </w:tc>
        <w:tc>
          <w:tcPr>
            <w:tcW w:w="2997"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vodovod</w:t>
            </w:r>
          </w:p>
        </w:tc>
        <w:tc>
          <w:tcPr>
            <w:tcW w:w="1417"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756"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r>
      <w:tr w:rsidR="00E14CE4" w:rsidRPr="00E14CE4" w:rsidTr="00E14CE4">
        <w:trPr>
          <w:trHeight w:val="300"/>
        </w:trPr>
        <w:tc>
          <w:tcPr>
            <w:tcW w:w="264"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2997"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do 25.000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417"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50,00 kn/m</w:t>
            </w:r>
            <w:r w:rsidRPr="00E14CE4">
              <w:rPr>
                <w:rFonts w:ascii="Arial" w:eastAsia="Times New Roman" w:hAnsi="Arial" w:cs="Arial"/>
                <w:sz w:val="20"/>
                <w:szCs w:val="20"/>
                <w:vertAlign w:val="superscript"/>
              </w:rPr>
              <w:t>2</w:t>
            </w:r>
          </w:p>
        </w:tc>
        <w:tc>
          <w:tcPr>
            <w:tcW w:w="756"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300"/>
        </w:trPr>
        <w:tc>
          <w:tcPr>
            <w:tcW w:w="264"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2997"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od 25.000 do 50.000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417"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40,00 kn/m</w:t>
            </w:r>
            <w:r w:rsidRPr="00E14CE4">
              <w:rPr>
                <w:rFonts w:ascii="Arial" w:eastAsia="Times New Roman" w:hAnsi="Arial" w:cs="Arial"/>
                <w:sz w:val="20"/>
                <w:szCs w:val="20"/>
                <w:vertAlign w:val="superscript"/>
              </w:rPr>
              <w:t>2</w:t>
            </w:r>
          </w:p>
        </w:tc>
        <w:tc>
          <w:tcPr>
            <w:tcW w:w="756"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300"/>
        </w:trPr>
        <w:tc>
          <w:tcPr>
            <w:tcW w:w="264"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2997"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iznad 50.000 m</w:t>
            </w:r>
            <w:r w:rsidRPr="00E14CE4">
              <w:rPr>
                <w:rFonts w:ascii="Arial" w:eastAsia="Times New Roman" w:hAnsi="Arial" w:cs="Arial"/>
                <w:sz w:val="20"/>
                <w:szCs w:val="20"/>
                <w:vertAlign w:val="superscript"/>
              </w:rPr>
              <w:t>2</w:t>
            </w:r>
            <w:r w:rsidRPr="00E14CE4">
              <w:rPr>
                <w:rFonts w:ascii="Arial" w:eastAsia="Times New Roman" w:hAnsi="Arial" w:cs="Arial"/>
                <w:sz w:val="20"/>
                <w:vertAlign w:val="superscript"/>
              </w:rPr>
              <w:t> </w:t>
            </w:r>
            <w:r w:rsidRPr="00E14CE4">
              <w:rPr>
                <w:rFonts w:ascii="Arial" w:eastAsia="Times New Roman" w:hAnsi="Arial" w:cs="Arial"/>
                <w:sz w:val="20"/>
                <w:szCs w:val="20"/>
              </w:rPr>
              <w:t> BRP =</w:t>
            </w:r>
          </w:p>
        </w:tc>
        <w:tc>
          <w:tcPr>
            <w:tcW w:w="1417"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30,00 kn/m</w:t>
            </w:r>
            <w:r w:rsidRPr="00E14CE4">
              <w:rPr>
                <w:rFonts w:ascii="Arial" w:eastAsia="Times New Roman" w:hAnsi="Arial" w:cs="Arial"/>
                <w:sz w:val="20"/>
                <w:szCs w:val="20"/>
                <w:vertAlign w:val="superscript"/>
              </w:rPr>
              <w:t>2</w:t>
            </w:r>
          </w:p>
        </w:tc>
        <w:tc>
          <w:tcPr>
            <w:tcW w:w="756"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405"/>
        </w:trPr>
        <w:tc>
          <w:tcPr>
            <w:tcW w:w="285" w:type="dxa"/>
            <w:gridSpan w:val="2"/>
            <w:vAlign w:val="bottom"/>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w:t>
            </w:r>
          </w:p>
        </w:tc>
        <w:tc>
          <w:tcPr>
            <w:tcW w:w="2985" w:type="dxa"/>
            <w:vAlign w:val="bottom"/>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kanalizacija</w:t>
            </w:r>
          </w:p>
        </w:tc>
        <w:tc>
          <w:tcPr>
            <w:tcW w:w="1410" w:type="dxa"/>
            <w:vAlign w:val="bottom"/>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750" w:type="dxa"/>
            <w:vAlign w:val="bottom"/>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r>
      <w:tr w:rsidR="00E14CE4" w:rsidRPr="00E14CE4" w:rsidTr="00E14CE4">
        <w:trPr>
          <w:trHeight w:val="300"/>
        </w:trPr>
        <w:tc>
          <w:tcPr>
            <w:tcW w:w="278"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2983"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do 25.000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417"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100,00 kn/m</w:t>
            </w:r>
            <w:r w:rsidRPr="00E14CE4">
              <w:rPr>
                <w:rFonts w:ascii="Arial" w:eastAsia="Times New Roman" w:hAnsi="Arial" w:cs="Arial"/>
                <w:sz w:val="20"/>
                <w:szCs w:val="20"/>
                <w:vertAlign w:val="superscript"/>
              </w:rPr>
              <w:t>2</w:t>
            </w:r>
          </w:p>
        </w:tc>
        <w:tc>
          <w:tcPr>
            <w:tcW w:w="756"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300"/>
        </w:trPr>
        <w:tc>
          <w:tcPr>
            <w:tcW w:w="278"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2983"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od 25.000 do 50.000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417"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80,00 kn/m</w:t>
            </w:r>
            <w:r w:rsidRPr="00E14CE4">
              <w:rPr>
                <w:rFonts w:ascii="Arial" w:eastAsia="Times New Roman" w:hAnsi="Arial" w:cs="Arial"/>
                <w:sz w:val="20"/>
                <w:szCs w:val="20"/>
                <w:vertAlign w:val="superscript"/>
              </w:rPr>
              <w:t>2</w:t>
            </w:r>
          </w:p>
        </w:tc>
        <w:tc>
          <w:tcPr>
            <w:tcW w:w="756"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300"/>
        </w:trPr>
        <w:tc>
          <w:tcPr>
            <w:tcW w:w="278"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2983"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iznad 50.000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417"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60,00 kn/m</w:t>
            </w:r>
            <w:r w:rsidRPr="00E14CE4">
              <w:rPr>
                <w:rFonts w:ascii="Arial" w:eastAsia="Times New Roman" w:hAnsi="Arial" w:cs="Arial"/>
                <w:sz w:val="20"/>
                <w:szCs w:val="20"/>
                <w:vertAlign w:val="superscript"/>
              </w:rPr>
              <w:t>2</w:t>
            </w:r>
          </w:p>
        </w:tc>
        <w:tc>
          <w:tcPr>
            <w:tcW w:w="756"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240"/>
        </w:trPr>
        <w:tc>
          <w:tcPr>
            <w:tcW w:w="315"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15"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3480"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1650"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r>
    </w:tbl>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4. Gospodarske zone i zone poslovne namjene </w:t>
      </w:r>
      <w:r w:rsidRPr="00E14CE4">
        <w:rPr>
          <w:rFonts w:ascii="Arial" w:eastAsia="Times New Roman" w:hAnsi="Arial" w:cs="Arial"/>
          <w:color w:val="000000"/>
          <w:sz w:val="20"/>
        </w:rPr>
        <w:t> </w:t>
      </w:r>
      <w:r w:rsidRPr="00E14CE4">
        <w:rPr>
          <w:rFonts w:ascii="Arial" w:eastAsia="Times New Roman" w:hAnsi="Arial" w:cs="Arial"/>
          <w:color w:val="000000"/>
          <w:sz w:val="20"/>
          <w:szCs w:val="20"/>
        </w:rPr>
        <w:t>određene dokumentima prostornog planiranja za priključenje na komunalnu infrastrukturu imaju pravo na umanjenje, tako da naknada po ukupnoj bruto površini (BRP) objekata koji se priključuju na:</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lang w:val="en-US"/>
        </w:rPr>
        <w:t> </w:t>
      </w:r>
    </w:p>
    <w:tbl>
      <w:tblPr>
        <w:tblW w:w="0" w:type="auto"/>
        <w:tblInd w:w="40" w:type="dxa"/>
        <w:tblCellMar>
          <w:left w:w="0" w:type="dxa"/>
          <w:right w:w="0" w:type="dxa"/>
        </w:tblCellMar>
        <w:tblLook w:val="04A0"/>
      </w:tblPr>
      <w:tblGrid>
        <w:gridCol w:w="330"/>
        <w:gridCol w:w="15"/>
        <w:gridCol w:w="4125"/>
        <w:gridCol w:w="1485"/>
        <w:gridCol w:w="990"/>
      </w:tblGrid>
      <w:tr w:rsidR="00E14CE4" w:rsidRPr="00E14CE4" w:rsidTr="00E14CE4">
        <w:trPr>
          <w:trHeight w:val="300"/>
        </w:trPr>
        <w:tc>
          <w:tcPr>
            <w:tcW w:w="278"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Times New Roman" w:eastAsia="Times New Roman" w:hAnsi="Times New Roman" w:cs="Times New Roman"/>
                <w:sz w:val="24"/>
                <w:szCs w:val="24"/>
              </w:rPr>
              <w:t>a)</w:t>
            </w:r>
          </w:p>
        </w:tc>
        <w:tc>
          <w:tcPr>
            <w:tcW w:w="3550"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vodovod</w:t>
            </w:r>
          </w:p>
        </w:tc>
        <w:tc>
          <w:tcPr>
            <w:tcW w:w="1275"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851"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r>
      <w:tr w:rsidR="00E14CE4" w:rsidRPr="00E14CE4" w:rsidTr="00E14CE4">
        <w:trPr>
          <w:trHeight w:val="300"/>
        </w:trPr>
        <w:tc>
          <w:tcPr>
            <w:tcW w:w="278"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3550"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a/1 - do 25.000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275"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30,00 kn/m</w:t>
            </w:r>
            <w:r w:rsidRPr="00E14CE4">
              <w:rPr>
                <w:rFonts w:ascii="Arial" w:eastAsia="Times New Roman" w:hAnsi="Arial" w:cs="Arial"/>
                <w:sz w:val="20"/>
                <w:szCs w:val="20"/>
                <w:vertAlign w:val="superscript"/>
              </w:rPr>
              <w:t>2</w:t>
            </w:r>
          </w:p>
        </w:tc>
        <w:tc>
          <w:tcPr>
            <w:tcW w:w="851"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300"/>
        </w:trPr>
        <w:tc>
          <w:tcPr>
            <w:tcW w:w="278"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3550"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a/2 - od 25.000 do 50.000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275"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20,00 kn/m</w:t>
            </w:r>
            <w:r w:rsidRPr="00E14CE4">
              <w:rPr>
                <w:rFonts w:ascii="Arial" w:eastAsia="Times New Roman" w:hAnsi="Arial" w:cs="Arial"/>
                <w:sz w:val="20"/>
                <w:szCs w:val="20"/>
                <w:vertAlign w:val="superscript"/>
              </w:rPr>
              <w:t>2</w:t>
            </w:r>
          </w:p>
        </w:tc>
        <w:tc>
          <w:tcPr>
            <w:tcW w:w="851"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300"/>
        </w:trPr>
        <w:tc>
          <w:tcPr>
            <w:tcW w:w="278"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3550"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a/3 - iznad 50.000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275"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14,00 kn/m</w:t>
            </w:r>
            <w:r w:rsidRPr="00E14CE4">
              <w:rPr>
                <w:rFonts w:ascii="Arial" w:eastAsia="Times New Roman" w:hAnsi="Arial" w:cs="Arial"/>
                <w:sz w:val="20"/>
                <w:szCs w:val="20"/>
                <w:vertAlign w:val="superscript"/>
              </w:rPr>
              <w:t>2</w:t>
            </w:r>
          </w:p>
        </w:tc>
        <w:tc>
          <w:tcPr>
            <w:tcW w:w="851"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435"/>
        </w:trPr>
        <w:tc>
          <w:tcPr>
            <w:tcW w:w="288" w:type="dxa"/>
            <w:gridSpan w:val="2"/>
            <w:tcMar>
              <w:top w:w="0" w:type="dxa"/>
              <w:left w:w="40" w:type="dxa"/>
              <w:bottom w:w="0" w:type="dxa"/>
              <w:right w:w="40" w:type="dxa"/>
            </w:tcMar>
            <w:vAlign w:val="bottom"/>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w:t>
            </w:r>
          </w:p>
        </w:tc>
        <w:tc>
          <w:tcPr>
            <w:tcW w:w="3540" w:type="dxa"/>
            <w:tcMar>
              <w:top w:w="0" w:type="dxa"/>
              <w:left w:w="40" w:type="dxa"/>
              <w:bottom w:w="0" w:type="dxa"/>
              <w:right w:w="40" w:type="dxa"/>
            </w:tcMar>
            <w:vAlign w:val="bottom"/>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kanalizacija</w:t>
            </w:r>
          </w:p>
        </w:tc>
        <w:tc>
          <w:tcPr>
            <w:tcW w:w="1275" w:type="dxa"/>
            <w:tcMar>
              <w:top w:w="0" w:type="dxa"/>
              <w:left w:w="40" w:type="dxa"/>
              <w:bottom w:w="0" w:type="dxa"/>
              <w:right w:w="40" w:type="dxa"/>
            </w:tcMar>
            <w:vAlign w:val="bottom"/>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851" w:type="dxa"/>
            <w:tcMar>
              <w:top w:w="0" w:type="dxa"/>
              <w:left w:w="40" w:type="dxa"/>
              <w:bottom w:w="0" w:type="dxa"/>
              <w:right w:w="40" w:type="dxa"/>
            </w:tcMar>
            <w:vAlign w:val="bottom"/>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r>
      <w:tr w:rsidR="00E14CE4" w:rsidRPr="00E14CE4" w:rsidTr="00E14CE4">
        <w:trPr>
          <w:trHeight w:val="300"/>
        </w:trPr>
        <w:tc>
          <w:tcPr>
            <w:tcW w:w="288"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3540"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b/1 - do 25.000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275"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50,00 kn/m</w:t>
            </w:r>
            <w:r w:rsidRPr="00E14CE4">
              <w:rPr>
                <w:rFonts w:ascii="Arial" w:eastAsia="Times New Roman" w:hAnsi="Arial" w:cs="Arial"/>
                <w:sz w:val="20"/>
                <w:szCs w:val="20"/>
                <w:vertAlign w:val="superscript"/>
              </w:rPr>
              <w:t>2</w:t>
            </w:r>
          </w:p>
        </w:tc>
        <w:tc>
          <w:tcPr>
            <w:tcW w:w="851"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300"/>
        </w:trPr>
        <w:tc>
          <w:tcPr>
            <w:tcW w:w="288"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3540"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b/2 - od 25.000 do 50.000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275"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40,00 kn/m</w:t>
            </w:r>
            <w:r w:rsidRPr="00E14CE4">
              <w:rPr>
                <w:rFonts w:ascii="Arial" w:eastAsia="Times New Roman" w:hAnsi="Arial" w:cs="Arial"/>
                <w:sz w:val="20"/>
                <w:szCs w:val="20"/>
                <w:vertAlign w:val="superscript"/>
              </w:rPr>
              <w:t>2</w:t>
            </w:r>
          </w:p>
        </w:tc>
        <w:tc>
          <w:tcPr>
            <w:tcW w:w="851"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300"/>
        </w:trPr>
        <w:tc>
          <w:tcPr>
            <w:tcW w:w="288" w:type="dxa"/>
            <w:gridSpan w:val="2"/>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 </w:t>
            </w:r>
          </w:p>
        </w:tc>
        <w:tc>
          <w:tcPr>
            <w:tcW w:w="3540"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b/3 - iznad 50.000 m</w:t>
            </w:r>
            <w:r w:rsidRPr="00E14CE4">
              <w:rPr>
                <w:rFonts w:ascii="Arial" w:eastAsia="Times New Roman" w:hAnsi="Arial" w:cs="Arial"/>
                <w:sz w:val="20"/>
                <w:szCs w:val="20"/>
                <w:vertAlign w:val="superscript"/>
              </w:rPr>
              <w:t>2</w:t>
            </w:r>
            <w:r w:rsidRPr="00E14CE4">
              <w:rPr>
                <w:rFonts w:ascii="Arial" w:eastAsia="Times New Roman" w:hAnsi="Arial" w:cs="Arial"/>
                <w:sz w:val="20"/>
              </w:rPr>
              <w:t> </w:t>
            </w:r>
            <w:r w:rsidRPr="00E14CE4">
              <w:rPr>
                <w:rFonts w:ascii="Arial" w:eastAsia="Times New Roman" w:hAnsi="Arial" w:cs="Arial"/>
                <w:sz w:val="20"/>
                <w:szCs w:val="20"/>
              </w:rPr>
              <w:t>BRP =</w:t>
            </w:r>
          </w:p>
        </w:tc>
        <w:tc>
          <w:tcPr>
            <w:tcW w:w="1275"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28,00 kn/m</w:t>
            </w:r>
            <w:r w:rsidRPr="00E14CE4">
              <w:rPr>
                <w:rFonts w:ascii="Arial" w:eastAsia="Times New Roman" w:hAnsi="Arial" w:cs="Arial"/>
                <w:sz w:val="20"/>
                <w:szCs w:val="20"/>
                <w:vertAlign w:val="superscript"/>
              </w:rPr>
              <w:t>2</w:t>
            </w:r>
          </w:p>
        </w:tc>
        <w:tc>
          <w:tcPr>
            <w:tcW w:w="851" w:type="dxa"/>
            <w:tcMar>
              <w:top w:w="0" w:type="dxa"/>
              <w:left w:w="40" w:type="dxa"/>
              <w:bottom w:w="0" w:type="dxa"/>
              <w:right w:w="40" w:type="dxa"/>
            </w:tcMar>
            <w:hideMark/>
          </w:tcPr>
          <w:p w:rsidR="00E14CE4" w:rsidRPr="00E14CE4" w:rsidRDefault="00E14CE4" w:rsidP="00E14CE4">
            <w:pPr>
              <w:spacing w:after="0" w:line="240" w:lineRule="auto"/>
              <w:rPr>
                <w:rFonts w:ascii="Times New Roman" w:eastAsia="Times New Roman" w:hAnsi="Times New Roman" w:cs="Times New Roman"/>
                <w:sz w:val="24"/>
                <w:szCs w:val="24"/>
              </w:rPr>
            </w:pPr>
            <w:r w:rsidRPr="00E14CE4">
              <w:rPr>
                <w:rFonts w:ascii="Arial" w:eastAsia="Times New Roman" w:hAnsi="Arial" w:cs="Arial"/>
                <w:sz w:val="20"/>
                <w:szCs w:val="20"/>
              </w:rPr>
              <w:t>BRP</w:t>
            </w:r>
          </w:p>
        </w:tc>
      </w:tr>
      <w:tr w:rsidR="00E14CE4" w:rsidRPr="00E14CE4" w:rsidTr="00E14CE4">
        <w:trPr>
          <w:trHeight w:val="240"/>
        </w:trPr>
        <w:tc>
          <w:tcPr>
            <w:tcW w:w="330"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15"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4125"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1485"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r>
    </w:tbl>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lastRenderedPageBreak/>
        <w:t>U slučaju da je izračunati iznos iz stavka 3. ili 4. članka 6. ove Odluke pojedinačno manji od propisane naknade točke 1. ovog članka, primjenjuju se iznosi određen u točci 1. ovog članka.</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Pravo na umanjenje iz točke 4. ovog članka imaju samo vlasnici - investitori koji su zemljište kupili od Općine Brckovljani, te su ispunili uvjete iz Odluke o komunalnom doprinosu općine Brckovljani iz čl. 6. stavak 1. tj. da su zatražili građevinsku dozvolu i podmirili komunalni doprinos u roku 15 mjeseci od dana stjecanja uvjeta uknjižbe prava vlasništva.</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Vlasnici-investitori koji ne ispunjavaju uvjete iz točke 4. članka 6. nemaju pravo na umanjenje i naknada se obračunava sukladno točci 3. (a i b) ovog članka.</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7.</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1. Vlasnicima građevina koji su sudjelovali u izgradnji objekata komunalne infrastrukture učešće u financiranju temeljem posebnih ugovora ili propisa priznaje se kao plaćanje naknade za priključenje do 2 priključka.</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2. Ako je učešće vlasnika građevina u izgradnji objekata komunalne infrastrukture putem posebnih ugovora u pojedinačnim iznosima manje od naknade za priključenje na komunalnu infrastrukturu obračunate prema članku 6. tada je vlasnik građevine prilikom priključenja građevine na komunalnu infrastrukturu dužan platiti razliku.</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3. Ako je učešće vlasnika građevina u izgradnji objekata komunalne infrastrukture putem posebnih ugovora u pojedinačnim iznosima veće od naknade za priključenje na komunalnu infrastrukturu obračunate prema članku 6. tada se vlasniku građevine prilikom priključenja građevine na komunalnu infrastrukturu neće vraćati razlika.</w:t>
      </w:r>
      <w:r w:rsidRPr="00E14CE4">
        <w:rPr>
          <w:rFonts w:ascii="Arial" w:eastAsia="Times New Roman" w:hAnsi="Arial" w:cs="Arial"/>
          <w:color w:val="000000"/>
          <w:sz w:val="20"/>
        </w:rPr>
        <w:t> </w:t>
      </w:r>
      <w:r w:rsidRPr="00E14CE4">
        <w:rPr>
          <w:rFonts w:ascii="Arial" w:eastAsia="Times New Roman" w:hAnsi="Arial" w:cs="Arial"/>
          <w:color w:val="000000"/>
          <w:sz w:val="20"/>
          <w:szCs w:val="20"/>
        </w:rPr>
        <w:t>Uz zahtjev za priznavanje troškova vlasnik ili investitor građevine treba</w:t>
      </w:r>
      <w:r w:rsidRPr="00E14CE4">
        <w:rPr>
          <w:rFonts w:ascii="Arial" w:eastAsia="Times New Roman" w:hAnsi="Arial" w:cs="Arial"/>
          <w:color w:val="000000"/>
          <w:sz w:val="20"/>
        </w:rPr>
        <w:t> </w:t>
      </w:r>
      <w:r w:rsidRPr="00E14CE4">
        <w:rPr>
          <w:rFonts w:ascii="Arial" w:eastAsia="Times New Roman" w:hAnsi="Arial" w:cs="Arial"/>
          <w:color w:val="000000"/>
          <w:sz w:val="20"/>
          <w:szCs w:val="20"/>
        </w:rPr>
        <w:t>priložiti dokaze o uplati.</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4. Vlasnicima ili investitorima, te njihovom prvom nasljednom redu (djeca), ako su živjeli sa roditeljima sa stalnim prebivalištem na području Općine Brckovljani od 1981. do 1991. koji su plaćali samodoprinos za izgradnju komunalne infrastrukture na području Općine Brckovljani, priznaje se u naknadu za priključenje na komunalnu infrastrukturu, tako da se ukupan iznos koji trebaju uplatiti umanjuje za 5% za svaku godinu plaćanja samodoprinosa do ukupno 50%.</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5. Dokaz o plaćanju samodoprinosa je potvrda o stalnom prebivalištu na području Općine Brckovljani izdana od MUP-a, potvrda o plaćanju samodoprinosa od poduzeća, porezne uprave, Fonda mirovinskoga i dr.</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6. Ukoliko vlasnik sudjeluje u sufinanciranju izgradnje uličnoga voda, a nije u mogućnosti realizirati priključak može kupoprodajnim ugovorom kojim prodaje nekretninu prenijeti i pravo na realizaciju priključka za navedenu česticu.</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7. Vlasnicima objekta, te njihovom prvom nasljednom redu (djeca) ako priključuju drugi objekt u naselju u kojem su sudjelovali u sufinanciranju izgradnje komunalne infrastrukture sa Općinom Brckovljani visina naknade za priključenje objekata za potrebe stanovanja naplaćuje se u visini 2.600,00 kuna.</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8. Građani, vlasnici građevina izgrađenih u građevinskom području koji su plaćali samodoprinos u razdoblju od 1981.-1991. godine, a priključuju građevinu na vodovodnu mrežu plaćaju naknadu za priključenje iz članka 6. ove Odluke umanjenu za iznos od 2.600,00 kuna.</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9. Vlasnici građevina namijenjenih poslovnoj ili gospodarskoj djelatnosti nisu oslobođeni plaćanja naknade za priključenje na komunalnu infrastrukturu temeljem plaćanja samodoprinosa.</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8.</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1. Vlasnik građevine dužan je priključiti svoju građevinu na već izgrađenu komunalnu infrastrukturu, ako su ispunjeni uvjeti za priključenje u roku od 18 mjeseci po donošenju Odluke.</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lastRenderedPageBreak/>
        <w:t>2. Od obveze priključenja na komunalnu infrastrukturu - vodovodnu mrežu može se izuzeti vlasnik građevine ukoliko je isti na zadovoljavajući način pojedinačno osigurao svoje potrebe.</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3. Od obveze priključenja na komunalnu infrastrukturu - kanalizaciju može se izuzeti vlasnik građevine ili građevinske čestice ukoliko je isti izgradio nepropusnu sabirnu jamu sukladno projektu i dobivenoj građevinskoj i uporabnoj dozvoli, te sklopio ugovor sa fizičkom ili pravnom osobom ovlaštenoj za odvoz i zbrinjavanje fekalnih voda.</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9.</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Upravno tijelo općine Brckovljani izdati će rješenje o obvezi priključenja ako vlasnik građevine ne podnese zahtjev za priključenje odnosno ne izvrši priključak u roku iz članka 8. ove Odluke.</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Rješenje o obvezi priključenja sadrži: ime i prezime ili naziv i adresu vlasnika građevine, vrstu priključka koji će se izvoditi, cijenu i rok izgradnje priključka, nalog za rad "Komunalac Brckovljani"-u da izvede priključenje te način prisilne naplate ako vlasnik građevine nije voljan snositi troškove izgradnje priključka.</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10.</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Upravni odjel općine Brckovljani u okviru nadležnosti za komunalno gospodarstvo obavlja nadzor nad primjenom odredaba ove Odluke te može predložiti pokretanje prekršajnog postupka za prekršaje iz članka 11. ove Odluke.</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11.</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1. Novčanom kaznom od 50.000,00 do 200.000,00 kuna kazniti će se pravna osoba za prekršaj:</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ako priključi građevinu na komunalnu infrastrukturu protivno odredbama ugovora iz članka 3. stavka 2. ove Odluke,</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ako priključi građevinu na komunalnu infrastrukturu protivno tehničko-tehnološkim uvjetima,</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ako priključi građevinu na komunalnu infrastrukturu bez podmirenja naknade za priključenje,</w:t>
      </w:r>
    </w:p>
    <w:p w:rsidR="00E14CE4" w:rsidRPr="00E14CE4" w:rsidRDefault="00E14CE4" w:rsidP="00E14CE4">
      <w:pPr>
        <w:spacing w:before="15" w:after="15" w:line="240" w:lineRule="auto"/>
        <w:ind w:left="1500" w:right="1050" w:hanging="1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ako nije pismenim putem </w:t>
      </w:r>
      <w:r w:rsidRPr="00E14CE4">
        <w:rPr>
          <w:rFonts w:ascii="Arial" w:eastAsia="Times New Roman" w:hAnsi="Arial" w:cs="Arial"/>
          <w:color w:val="000000"/>
          <w:sz w:val="20"/>
        </w:rPr>
        <w:t> </w:t>
      </w:r>
      <w:r w:rsidRPr="00E14CE4">
        <w:rPr>
          <w:rFonts w:ascii="Arial" w:eastAsia="Times New Roman" w:hAnsi="Arial" w:cs="Arial"/>
          <w:color w:val="000000"/>
          <w:sz w:val="20"/>
          <w:szCs w:val="20"/>
        </w:rPr>
        <w:t>prijavio Općini Brckovljani dogradnju objekta, a time je povećao BRP za koju nije platio razliku naknade</w:t>
      </w:r>
    </w:p>
    <w:p w:rsidR="00E14CE4" w:rsidRPr="00E14CE4" w:rsidRDefault="00E14CE4" w:rsidP="00E14CE4">
      <w:pPr>
        <w:spacing w:before="15" w:after="15" w:line="240" w:lineRule="auto"/>
        <w:ind w:left="1260" w:right="1050" w:hanging="210"/>
        <w:jc w:val="both"/>
        <w:rPr>
          <w:rFonts w:ascii="Arial" w:eastAsia="Times New Roman" w:hAnsi="Arial" w:cs="Arial"/>
          <w:color w:val="000000"/>
          <w:sz w:val="20"/>
          <w:szCs w:val="20"/>
        </w:rPr>
      </w:pPr>
      <w:r w:rsidRPr="00E14CE4">
        <w:rPr>
          <w:rFonts w:ascii="Arial" w:eastAsia="Times New Roman" w:hAnsi="Arial" w:cs="Arial"/>
          <w:color w:val="000000"/>
          <w:sz w:val="20"/>
          <w:szCs w:val="20"/>
        </w:rPr>
        <w:t>2. Za prekršaj iz stavka 1. ovog članka kazniti će se novčanom kaznom od 5.000,00 do 10.000,00 kuna vlasnik građevine i odgovorna osoba u pravnoj osobi.</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12.</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Općinsko vijeće općine Brckovljani na prijedlog općinskog načelnika općine Brckovljani</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iznimno može djelomično ili potpuno osloboditi plaćanja naknade za priključenje na komunalnu infrastrukturu pojedinog vlasnika građevine po pismenom zahtjevu istog.</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13.</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Stupanjem na snagu ove Odluke prestaje važiti Odluka o priključenju na komunalnu infrastrukturu na području općine Brckovljani (Službeni glasnik općine Brckovljani broj 9/06.)</w:t>
      </w:r>
    </w:p>
    <w:p w:rsidR="00E14CE4" w:rsidRPr="00E14CE4" w:rsidRDefault="00E14CE4" w:rsidP="00E14CE4">
      <w:pPr>
        <w:spacing w:before="240" w:after="120" w:line="240" w:lineRule="atLeast"/>
        <w:ind w:left="1050" w:right="1050"/>
        <w:jc w:val="center"/>
        <w:rPr>
          <w:rFonts w:ascii="Arial" w:eastAsia="Times New Roman" w:hAnsi="Arial" w:cs="Arial"/>
          <w:b/>
          <w:bCs/>
          <w:color w:val="000000"/>
          <w:sz w:val="20"/>
          <w:szCs w:val="20"/>
        </w:rPr>
      </w:pPr>
      <w:r w:rsidRPr="00E14CE4">
        <w:rPr>
          <w:rFonts w:ascii="Arial" w:eastAsia="Times New Roman" w:hAnsi="Arial" w:cs="Arial"/>
          <w:b/>
          <w:bCs/>
          <w:color w:val="000000"/>
          <w:sz w:val="20"/>
          <w:szCs w:val="20"/>
        </w:rPr>
        <w:t>Članak 14.</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Ova Odluka stupa na snagu danom objave u Službenom glasniku općine Brckovljani, a primjenjuje se od 01. 12. 2009. godine.</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E14CE4" w:rsidRPr="00E14CE4" w:rsidTr="00E14CE4">
        <w:trPr>
          <w:tblCellSpacing w:w="0" w:type="dxa"/>
        </w:trPr>
        <w:tc>
          <w:tcPr>
            <w:tcW w:w="3500" w:type="pct"/>
            <w:vAlign w:val="center"/>
            <w:hideMark/>
          </w:tcPr>
          <w:p w:rsidR="00E14CE4" w:rsidRPr="00E14CE4" w:rsidRDefault="00E14CE4" w:rsidP="00E14CE4">
            <w:pPr>
              <w:spacing w:after="0" w:line="240" w:lineRule="auto"/>
              <w:rPr>
                <w:rFonts w:ascii="Times New Roman" w:eastAsia="Times New Roman" w:hAnsi="Times New Roman" w:cs="Times New Roman"/>
                <w:sz w:val="24"/>
                <w:szCs w:val="24"/>
              </w:rPr>
            </w:pPr>
          </w:p>
        </w:tc>
        <w:tc>
          <w:tcPr>
            <w:tcW w:w="3750" w:type="dxa"/>
            <w:vAlign w:val="center"/>
            <w:hideMark/>
          </w:tcPr>
          <w:p w:rsidR="00E14CE4" w:rsidRPr="00E14CE4" w:rsidRDefault="00E14CE4" w:rsidP="00E14CE4">
            <w:pPr>
              <w:spacing w:before="100" w:beforeAutospacing="1" w:after="100" w:afterAutospacing="1" w:line="240" w:lineRule="auto"/>
              <w:jc w:val="center"/>
              <w:rPr>
                <w:rFonts w:ascii="Times New Roman" w:eastAsia="Times New Roman" w:hAnsi="Times New Roman" w:cs="Times New Roman"/>
                <w:sz w:val="24"/>
                <w:szCs w:val="24"/>
              </w:rPr>
            </w:pPr>
            <w:r w:rsidRPr="00E14CE4">
              <w:rPr>
                <w:rFonts w:ascii="Arial" w:eastAsia="Times New Roman" w:hAnsi="Arial" w:cs="Arial"/>
                <w:sz w:val="20"/>
                <w:szCs w:val="20"/>
              </w:rPr>
              <w:t>PREDSJEDNIK</w:t>
            </w:r>
            <w:r w:rsidRPr="00E14CE4">
              <w:rPr>
                <w:rFonts w:ascii="Arial" w:eastAsia="Times New Roman" w:hAnsi="Arial" w:cs="Arial"/>
                <w:sz w:val="20"/>
                <w:szCs w:val="20"/>
              </w:rPr>
              <w:br/>
            </w:r>
            <w:r w:rsidRPr="00E14CE4">
              <w:rPr>
                <w:rFonts w:ascii="Arial" w:eastAsia="Times New Roman" w:hAnsi="Arial" w:cs="Arial"/>
                <w:sz w:val="20"/>
                <w:szCs w:val="20"/>
              </w:rPr>
              <w:lastRenderedPageBreak/>
              <w:t>OPĆINSKOG VIJEĆA</w:t>
            </w:r>
            <w:r w:rsidRPr="00E14CE4">
              <w:rPr>
                <w:rFonts w:ascii="Arial" w:eastAsia="Times New Roman" w:hAnsi="Arial" w:cs="Arial"/>
                <w:sz w:val="20"/>
                <w:szCs w:val="20"/>
              </w:rPr>
              <w:br/>
              <w:t>OPĆINE BRCKOVLJANI</w:t>
            </w:r>
            <w:r w:rsidRPr="00E14CE4">
              <w:rPr>
                <w:rFonts w:ascii="Arial" w:eastAsia="Times New Roman" w:hAnsi="Arial" w:cs="Arial"/>
                <w:sz w:val="20"/>
                <w:szCs w:val="20"/>
              </w:rPr>
              <w:br/>
            </w:r>
            <w:r w:rsidRPr="00E14CE4">
              <w:rPr>
                <w:rFonts w:ascii="Arial" w:eastAsia="Times New Roman" w:hAnsi="Arial" w:cs="Arial"/>
                <w:b/>
                <w:bCs/>
                <w:sz w:val="20"/>
                <w:szCs w:val="20"/>
              </w:rPr>
              <w:t>Božo Graberec v.r.</w:t>
            </w:r>
          </w:p>
        </w:tc>
      </w:tr>
    </w:tbl>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lastRenderedPageBreak/>
        <w:t> </w:t>
      </w:r>
    </w:p>
    <w:p w:rsidR="00E14CE4" w:rsidRPr="00E14CE4" w:rsidRDefault="00E14CE4" w:rsidP="00E14CE4">
      <w:pPr>
        <w:spacing w:before="15" w:after="15" w:line="240" w:lineRule="auto"/>
        <w:ind w:left="1050" w:right="1050"/>
        <w:jc w:val="both"/>
        <w:rPr>
          <w:rFonts w:ascii="Arial" w:eastAsia="Times New Roman" w:hAnsi="Arial" w:cs="Arial"/>
          <w:color w:val="000000"/>
          <w:sz w:val="20"/>
          <w:szCs w:val="20"/>
        </w:rPr>
      </w:pPr>
      <w:r w:rsidRPr="00E14CE4">
        <w:rPr>
          <w:rFonts w:ascii="Arial" w:eastAsia="Times New Roman" w:hAnsi="Arial" w:cs="Arial"/>
          <w:color w:val="000000"/>
          <w:sz w:val="20"/>
          <w:szCs w:val="20"/>
        </w:rPr>
        <w:t>Klasa: 021-05/09-01/87 </w:t>
      </w:r>
      <w:r w:rsidRPr="00E14CE4">
        <w:rPr>
          <w:rFonts w:ascii="Arial" w:eastAsia="Times New Roman" w:hAnsi="Arial" w:cs="Arial"/>
          <w:color w:val="000000"/>
          <w:sz w:val="20"/>
          <w:szCs w:val="20"/>
        </w:rPr>
        <w:br/>
        <w:t>Ur. broj: 238/04-09-07 </w:t>
      </w:r>
      <w:r w:rsidRPr="00E14CE4">
        <w:rPr>
          <w:rFonts w:ascii="Arial" w:eastAsia="Times New Roman" w:hAnsi="Arial" w:cs="Arial"/>
          <w:color w:val="000000"/>
          <w:sz w:val="20"/>
          <w:szCs w:val="20"/>
        </w:rPr>
        <w:br/>
        <w:t>Dugo Selo, 17.11.2009</w:t>
      </w:r>
    </w:p>
    <w:p w:rsidR="007B5938" w:rsidRDefault="007B5938"/>
    <w:sectPr w:rsidR="007B59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E14CE4"/>
    <w:rsid w:val="007B5938"/>
    <w:rsid w:val="00E14CE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14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E14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E14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4CE4"/>
  </w:style>
  <w:style w:type="paragraph" w:styleId="NormalWeb">
    <w:name w:val="Normal (Web)"/>
    <w:basedOn w:val="Normal"/>
    <w:uiPriority w:val="99"/>
    <w:unhideWhenUsed/>
    <w:rsid w:val="00E14C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89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8959</Characters>
  <Application>Microsoft Office Word</Application>
  <DocSecurity>0</DocSecurity>
  <Lines>74</Lines>
  <Paragraphs>21</Paragraphs>
  <ScaleCrop>false</ScaleCrop>
  <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2016-07-21T09:53:00Z</dcterms:created>
  <dcterms:modified xsi:type="dcterms:W3CDTF">2016-07-21T09:53:00Z</dcterms:modified>
</cp:coreProperties>
</file>